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B2" w:rsidRPr="007332B2" w:rsidRDefault="007332B2" w:rsidP="007332B2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4A4A48"/>
          <w:lang w:val="es-ES" w:eastAsia="es-CL"/>
        </w:rPr>
      </w:pPr>
      <w:bookmarkStart w:id="0" w:name="_GoBack"/>
      <w:r w:rsidRPr="007332B2">
        <w:rPr>
          <w:rFonts w:eastAsia="Times New Roman" w:cstheme="minorHAnsi"/>
          <w:b/>
          <w:bCs/>
          <w:color w:val="4A4A48"/>
          <w:lang w:val="es-ES" w:eastAsia="es-CL"/>
        </w:rPr>
        <w:t>Anexo 4-03</w:t>
      </w:r>
    </w:p>
    <w:p w:rsidR="007332B2" w:rsidRPr="007332B2" w:rsidRDefault="007332B2" w:rsidP="007332B2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4A4A48"/>
          <w:lang w:val="es-ES" w:eastAsia="es-CL"/>
        </w:rPr>
      </w:pPr>
      <w:r w:rsidRPr="007332B2">
        <w:rPr>
          <w:rFonts w:eastAsia="Times New Roman" w:cstheme="minorHAnsi"/>
          <w:b/>
          <w:bCs/>
          <w:color w:val="4A4A48"/>
          <w:lang w:val="es-ES" w:eastAsia="es-CL"/>
        </w:rPr>
        <w:t>Reglas de Origen Específicas</w:t>
      </w:r>
    </w:p>
    <w:bookmarkEnd w:id="0"/>
    <w:p w:rsidR="007332B2" w:rsidRPr="007332B2" w:rsidRDefault="007332B2" w:rsidP="007332B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A4A48"/>
          <w:lang w:val="es-ES" w:eastAsia="es-CL"/>
        </w:rPr>
      </w:pPr>
      <w:r w:rsidRPr="007332B2">
        <w:rPr>
          <w:rFonts w:eastAsia="Times New Roman" w:cstheme="minorHAnsi"/>
          <w:b/>
          <w:bCs/>
          <w:color w:val="4A4A48"/>
          <w:bdr w:val="none" w:sz="0" w:space="0" w:color="auto" w:frame="1"/>
          <w:lang w:val="es-ES" w:eastAsia="es-CL"/>
        </w:rPr>
        <w:t>Sección A – Nota General Interpretativa</w:t>
      </w:r>
    </w:p>
    <w:p w:rsidR="007332B2" w:rsidRPr="007332B2" w:rsidRDefault="007332B2" w:rsidP="007332B2">
      <w:pPr>
        <w:shd w:val="clear" w:color="auto" w:fill="FFFFFF"/>
        <w:spacing w:after="0" w:line="240" w:lineRule="auto"/>
        <w:rPr>
          <w:rFonts w:eastAsia="Times New Roman" w:cstheme="minorHAnsi"/>
          <w:color w:val="4A4A48"/>
          <w:lang w:val="es-ES" w:eastAsia="es-CL"/>
        </w:rPr>
      </w:pPr>
      <w:r w:rsidRPr="007332B2">
        <w:rPr>
          <w:rFonts w:eastAsia="Times New Roman" w:cstheme="minorHAnsi"/>
          <w:color w:val="4A4A48"/>
          <w:lang w:val="es-ES" w:eastAsia="es-CL"/>
        </w:rPr>
        <w:t>1. Para efectos de este anexo, se entenderá por:</w:t>
      </w:r>
    </w:p>
    <w:p w:rsidR="007332B2" w:rsidRPr="007332B2" w:rsidRDefault="007332B2" w:rsidP="007332B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b/>
          <w:bCs/>
          <w:bdr w:val="none" w:sz="0" w:space="0" w:color="auto" w:frame="1"/>
          <w:lang w:val="es-ES" w:eastAsia="es-CL"/>
        </w:rPr>
        <w:t>arancel</w:t>
      </w:r>
      <w:r w:rsidRPr="007332B2">
        <w:rPr>
          <w:rFonts w:eastAsia="Times New Roman" w:cstheme="minorHAnsi"/>
          <w:lang w:val="es-ES" w:eastAsia="es-CL"/>
        </w:rPr>
        <w:t>: un “arancel aduanero”, tal como se define en el artículo 2-01 (Definiciones de aplicación general);</w:t>
      </w:r>
    </w:p>
    <w:p w:rsidR="007332B2" w:rsidRPr="007332B2" w:rsidRDefault="007332B2" w:rsidP="007332B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b/>
          <w:bCs/>
          <w:bdr w:val="none" w:sz="0" w:space="0" w:color="auto" w:frame="1"/>
          <w:lang w:val="es-ES" w:eastAsia="es-CL"/>
        </w:rPr>
        <w:t>capítulo</w:t>
      </w:r>
      <w:r w:rsidRPr="007332B2">
        <w:rPr>
          <w:rFonts w:eastAsia="Times New Roman" w:cstheme="minorHAnsi"/>
          <w:lang w:val="es-ES" w:eastAsia="es-CL"/>
        </w:rPr>
        <w:t>: un capítulo del Sistema Armonizado;</w:t>
      </w:r>
    </w:p>
    <w:p w:rsidR="007332B2" w:rsidRPr="007332B2" w:rsidRDefault="007332B2" w:rsidP="007332B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b/>
          <w:bCs/>
          <w:bdr w:val="none" w:sz="0" w:space="0" w:color="auto" w:frame="1"/>
          <w:lang w:val="es-ES" w:eastAsia="es-CL"/>
        </w:rPr>
        <w:t>fracción arancelaria</w:t>
      </w:r>
      <w:r w:rsidRPr="007332B2">
        <w:rPr>
          <w:rFonts w:eastAsia="Times New Roman" w:cstheme="minorHAnsi"/>
          <w:lang w:val="es-ES" w:eastAsia="es-CL"/>
        </w:rPr>
        <w:t>: un código de clasificación arancelaria del Sistema Armonizado a nivel de ocho o 10 dígitos;</w:t>
      </w:r>
    </w:p>
    <w:p w:rsidR="007332B2" w:rsidRPr="007332B2" w:rsidRDefault="007332B2" w:rsidP="007332B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b/>
          <w:bCs/>
          <w:bdr w:val="none" w:sz="0" w:space="0" w:color="auto" w:frame="1"/>
          <w:lang w:val="es-ES" w:eastAsia="es-CL"/>
        </w:rPr>
        <w:t>partida</w:t>
      </w:r>
      <w:r w:rsidRPr="007332B2">
        <w:rPr>
          <w:rFonts w:eastAsia="Times New Roman" w:cstheme="minorHAnsi"/>
          <w:lang w:val="es-ES" w:eastAsia="es-CL"/>
        </w:rPr>
        <w:t>: un código de clasificación arancelaria del Sistema Armonizado a nivel de cuatro dígitos;</w:t>
      </w:r>
    </w:p>
    <w:p w:rsidR="007332B2" w:rsidRPr="007332B2" w:rsidRDefault="007332B2" w:rsidP="007332B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b/>
          <w:bCs/>
          <w:bdr w:val="none" w:sz="0" w:space="0" w:color="auto" w:frame="1"/>
          <w:lang w:val="es-ES" w:eastAsia="es-CL"/>
        </w:rPr>
        <w:t>sección</w:t>
      </w:r>
      <w:r w:rsidRPr="007332B2">
        <w:rPr>
          <w:rFonts w:eastAsia="Times New Roman" w:cstheme="minorHAnsi"/>
          <w:lang w:val="es-ES" w:eastAsia="es-CL"/>
        </w:rPr>
        <w:t>: una sección del Sistema Armonizado; y</w:t>
      </w:r>
    </w:p>
    <w:p w:rsidR="007332B2" w:rsidRPr="007332B2" w:rsidRDefault="007332B2" w:rsidP="007332B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b/>
          <w:bCs/>
          <w:bdr w:val="none" w:sz="0" w:space="0" w:color="auto" w:frame="1"/>
          <w:lang w:val="es-ES" w:eastAsia="es-CL"/>
        </w:rPr>
        <w:t>subpartida</w:t>
      </w:r>
      <w:r w:rsidRPr="007332B2">
        <w:rPr>
          <w:rFonts w:eastAsia="Times New Roman" w:cstheme="minorHAnsi"/>
          <w:lang w:val="es-ES" w:eastAsia="es-CL"/>
        </w:rPr>
        <w:t>: un código de clasificación arancelaria del Sistema Armonizado a nivel de seis dígitos;</w:t>
      </w:r>
    </w:p>
    <w:p w:rsidR="007332B2" w:rsidRPr="007332B2" w:rsidRDefault="007332B2" w:rsidP="007332B2">
      <w:pPr>
        <w:shd w:val="clear" w:color="auto" w:fill="FFFFFF"/>
        <w:spacing w:after="0" w:line="240" w:lineRule="auto"/>
        <w:rPr>
          <w:rFonts w:eastAsia="Times New Roman" w:cstheme="minorHAnsi"/>
          <w:color w:val="4A4A48"/>
          <w:lang w:val="es-ES" w:eastAsia="es-CL"/>
        </w:rPr>
      </w:pPr>
      <w:r w:rsidRPr="007332B2">
        <w:rPr>
          <w:rFonts w:eastAsia="Times New Roman" w:cstheme="minorHAnsi"/>
          <w:color w:val="4A4A48"/>
          <w:lang w:val="es-ES" w:eastAsia="es-CL"/>
        </w:rPr>
        <w:t>2. La regla específica o el conjunto específico de reglas que se aplica a una partida, subpartida o fracción arancelaria se establece al lado de la partida, subpartida o fracción arancelaria.</w:t>
      </w:r>
    </w:p>
    <w:p w:rsidR="007332B2" w:rsidRPr="007332B2" w:rsidRDefault="007332B2" w:rsidP="007332B2">
      <w:pPr>
        <w:shd w:val="clear" w:color="auto" w:fill="FFFFFF"/>
        <w:spacing w:after="0" w:line="240" w:lineRule="auto"/>
        <w:rPr>
          <w:rFonts w:eastAsia="Times New Roman" w:cstheme="minorHAnsi"/>
          <w:color w:val="4A4A48"/>
          <w:lang w:val="es-ES" w:eastAsia="es-CL"/>
        </w:rPr>
      </w:pPr>
      <w:r w:rsidRPr="007332B2">
        <w:rPr>
          <w:rFonts w:eastAsia="Times New Roman" w:cstheme="minorHAnsi"/>
          <w:color w:val="4A4A48"/>
          <w:lang w:val="es-ES" w:eastAsia="es-CL"/>
        </w:rPr>
        <w:t>3. La regla aplicable a una fracción arancelaria tendrá prioridad sobre la regla aplicable a la partida o subpartida que comprende a esa fracción arancelaria.</w:t>
      </w:r>
    </w:p>
    <w:p w:rsidR="007332B2" w:rsidRPr="007332B2" w:rsidRDefault="007332B2" w:rsidP="007332B2">
      <w:pPr>
        <w:shd w:val="clear" w:color="auto" w:fill="FFFFFF"/>
        <w:spacing w:after="0" w:line="240" w:lineRule="auto"/>
        <w:rPr>
          <w:rFonts w:eastAsia="Times New Roman" w:cstheme="minorHAnsi"/>
          <w:color w:val="4A4A48"/>
          <w:lang w:val="es-ES" w:eastAsia="es-CL"/>
        </w:rPr>
      </w:pPr>
      <w:r w:rsidRPr="007332B2">
        <w:rPr>
          <w:rFonts w:eastAsia="Times New Roman" w:cstheme="minorHAnsi"/>
          <w:color w:val="4A4A48"/>
          <w:lang w:val="es-ES" w:eastAsia="es-CL"/>
        </w:rPr>
        <w:t>4. Un requisito de cambio de clasificación arancelaria se aplica solamente a los materiales no originarios.</w:t>
      </w:r>
    </w:p>
    <w:p w:rsidR="007332B2" w:rsidRPr="007332B2" w:rsidRDefault="007332B2" w:rsidP="007332B2">
      <w:pPr>
        <w:shd w:val="clear" w:color="auto" w:fill="FFFFFF"/>
        <w:spacing w:after="0" w:line="240" w:lineRule="auto"/>
        <w:rPr>
          <w:rFonts w:eastAsia="Times New Roman" w:cstheme="minorHAnsi"/>
          <w:color w:val="4A4A48"/>
          <w:lang w:val="es-ES" w:eastAsia="es-CL"/>
        </w:rPr>
      </w:pPr>
      <w:r w:rsidRPr="007332B2">
        <w:rPr>
          <w:rFonts w:eastAsia="Times New Roman" w:cstheme="minorHAnsi"/>
          <w:color w:val="4A4A48"/>
          <w:lang w:val="es-ES" w:eastAsia="es-CL"/>
        </w:rPr>
        <w:t>5. La descripción de las fracciones arancelarias expresadas con letra en el texto de las reglas de origen específicas está contenida en la sección C de este anexo.</w:t>
      </w:r>
    </w:p>
    <w:p w:rsidR="007332B2" w:rsidRPr="007332B2" w:rsidRDefault="007332B2" w:rsidP="007332B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A4A48"/>
          <w:lang w:val="es-ES" w:eastAsia="es-CL"/>
        </w:rPr>
      </w:pPr>
      <w:r w:rsidRPr="007332B2">
        <w:rPr>
          <w:rFonts w:eastAsia="Times New Roman" w:cstheme="minorHAnsi"/>
          <w:b/>
          <w:bCs/>
          <w:color w:val="4A4A48"/>
          <w:bdr w:val="none" w:sz="0" w:space="0" w:color="auto" w:frame="1"/>
          <w:lang w:val="es-ES" w:eastAsia="es-CL"/>
        </w:rPr>
        <w:t>Sección B – Reglas de origen específicas</w:t>
      </w:r>
    </w:p>
    <w:p w:rsidR="007332B2" w:rsidRPr="007332B2" w:rsidRDefault="007332B2" w:rsidP="007332B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lang w:val="es-ES" w:eastAsia="es-CL"/>
        </w:rPr>
        <w:t>Capítulos 01 al 27</w:t>
      </w:r>
    </w:p>
    <w:p w:rsidR="007332B2" w:rsidRPr="007332B2" w:rsidRDefault="007332B2" w:rsidP="007332B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lang w:val="es-ES" w:eastAsia="es-CL"/>
        </w:rPr>
        <w:t>Capítulos 28 al 38</w:t>
      </w:r>
    </w:p>
    <w:p w:rsidR="007332B2" w:rsidRPr="007332B2" w:rsidRDefault="007332B2" w:rsidP="007332B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lang w:val="es-ES" w:eastAsia="es-CL"/>
        </w:rPr>
        <w:t>Capítulos 39 al 49</w:t>
      </w:r>
    </w:p>
    <w:p w:rsidR="007332B2" w:rsidRPr="007332B2" w:rsidRDefault="007332B2" w:rsidP="007332B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lang w:val="es-ES" w:eastAsia="es-CL"/>
        </w:rPr>
        <w:t>Capítulos 50 al 67</w:t>
      </w:r>
    </w:p>
    <w:p w:rsidR="007332B2" w:rsidRPr="007332B2" w:rsidRDefault="007332B2" w:rsidP="007332B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lang w:val="es-ES" w:eastAsia="es-CL"/>
        </w:rPr>
        <w:t>Capítulos 68 al 83</w:t>
      </w:r>
    </w:p>
    <w:p w:rsidR="007332B2" w:rsidRPr="007332B2" w:rsidRDefault="007332B2" w:rsidP="007332B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lang w:val="es-ES" w:eastAsia="es-CL"/>
        </w:rPr>
        <w:t>Capítulos 84 al 85</w:t>
      </w:r>
    </w:p>
    <w:p w:rsidR="007332B2" w:rsidRPr="007332B2" w:rsidRDefault="007332B2" w:rsidP="007332B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lang w:val="es-ES" w:eastAsia="es-CL"/>
        </w:rPr>
        <w:t>Capítulos 86 al 92</w:t>
      </w:r>
    </w:p>
    <w:p w:rsidR="007332B2" w:rsidRPr="007332B2" w:rsidRDefault="007332B2" w:rsidP="007332B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theme="minorHAnsi"/>
          <w:lang w:val="es-ES" w:eastAsia="es-CL"/>
        </w:rPr>
      </w:pPr>
      <w:r w:rsidRPr="007332B2">
        <w:rPr>
          <w:rFonts w:eastAsia="Times New Roman" w:cstheme="minorHAnsi"/>
          <w:lang w:val="es-ES" w:eastAsia="es-CL"/>
        </w:rPr>
        <w:t>Capítulos 93 al 97</w:t>
      </w:r>
    </w:p>
    <w:p w:rsidR="007332B2" w:rsidRPr="007332B2" w:rsidRDefault="007332B2" w:rsidP="007332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7332B2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Sección C – Nuevas Fracciones Arancelarias</w:t>
      </w:r>
    </w:p>
    <w:tbl>
      <w:tblPr>
        <w:tblW w:w="5000" w:type="pct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46"/>
        <w:gridCol w:w="881"/>
        <w:gridCol w:w="5403"/>
      </w:tblGrid>
      <w:tr w:rsidR="007332B2" w:rsidRPr="007332B2" w:rsidTr="007332B2">
        <w:trPr>
          <w:tblHeader/>
        </w:trPr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733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FRACCIÓN ARANCELARIA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733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CHILE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733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MÉXICO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733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DESCRIPCIÓN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 un contenido de sólidos lácteos superior al 10 por ciento, en peso.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1901.20.aa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1901.20.00AA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1901.20.02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 un contenido de grasa butírica superior al 25 por ciento, en peso, sin acondicionar para la venta al por menor.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1901.90.03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a base de productos lácteos con un contenido de sólidos lácteos superior al 10 por ciento, en peso.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2008.11.00AA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2008.11.01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Sin cáscara.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2101.11.00AA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2101.11.01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Café instantáneo, sin aromatizar.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Concentrados de jugos de una sola fruta, legumbre u hortaliza, enriquecidos con minerales o vitaminas.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2106.90.bb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2106.90.90BB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Mezclas de jugos concentrados de frutas, legumbres u hortalizas, enriquecidos con minerales o vitaminas.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2106.90.90CC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 un contenido de sólidos lácteos superior al 10 por ciento, en peso.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2106.90.20DD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2106.90.10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2106.90.11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Extractos y concentrados del tipo de los utilizados en la elaboración de bebidas, con un contenido de alcohol mayor al 0.5 por ciento.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Bebidas a base de jugos de una sola fruta, legumbre u hortaliza, enriquecidos con minerales o vitaminas.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Bebidas a base de mezclas de jugos de frutas, legumbres u hortalizas, enriquecidos con minerales o vitaminas.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2309.90.aa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2309.90.10AA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2309.90.10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2309.90.11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 un contenido de sólidos lácteos superior al 10 por ciento.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para envoltura.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2401.20.aa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2401.20.00AA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2401.20.02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para envoltura.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2403.91.aa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2403.91.00AA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2403.91.01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del tipo utilizado para envoltura de tabaco.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2827.39.aa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2827.39.00AA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2827.39.01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 estaño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2912.49.aa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2912.49.90AA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2912.49.04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ter-Butil-alfa-metilhidroxinamaldehído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Eucaliptol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2932.99.90BB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2932.99.14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Dioxano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2934.90.aa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2934.90.90AA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2934.90.55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4'-Cloro-3,5-dimetoxi-4-(2-morfolinoetoxi) benzofenona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7321.11.90AA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7321.11.02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Estufas o cocinas (excepto las portátiles)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Cámaras de cocción, incluso sin ensamblar, para estufas o cocinas (excepto las portátiles).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Panel superior con o sin controles, con o sin quemadores, para estufas o cocinas (excepto las portátiles).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7321.90.cc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puertas, para estufas o cocinas (excepto las portátiles), que incluyan más de uno de los siguientes componentes: paredes interiores, paredes exteriores, ventana, aislamiento.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7404.00.aa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7404.00.00AA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7404.00.02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Anodos gastados; desperdicios y desechos con contenido de cobre inferior al 94 por ciento, en peso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7407.10.02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Perfiles huecos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7407.21.02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Perfiles huecos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7407.22.aa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7407.22.00AA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7407.22.02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Perfiles huecos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7407.29.03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Perfiles huecos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7408.11.aa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7408.11.00AA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7408.11.01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 sección transversal inferior o igual a 9.5 mm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Hojas con espesor inferior o igual a 0.15 mm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7506.20.aa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7506.20.00AA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7506.20.01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Hojas con espesor inferior o igual a 0.15 mm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8102.92.aa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8102.92.00AA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8102.92.01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Barras y varillas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8111.00.aa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8111.00.00AA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8111.00.01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Polvos de manganeso y manufacturas de manganeso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8415.90.aa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8415.90.00AA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8415.90.01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Chasis, bases de chasis y gabinetes exteriores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8418.99.aa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8418.99.00AA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8418.99.04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puertas que incorporen más de uno de los siguientes componentes: panel interior, panel exterior, aislamiento, bisagras, agarraderas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Cámaras de secado para los bienes de la subpartida 8421.12 y otras partes de secadoras de ropa que incorporen las cámaras de secado.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8421.91.03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Muebles concebidos para los bienes de la subpartida 8421.12.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Depósitos de agua para los bienes comprendidos en la subpartida 8422.11 y otras partes de máquinas lavadoras de platos domésticas que incorporen depósitos de agua.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puertas para los bienes de la subpartida 8422.11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8450.90.aa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Tinas y ensambles de tinas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Muebles concebidos para los bienes de la subpartida 8450.11 a 8450.20.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 de secado para los bienes de las subpartidas 8451.21 ú 8451.29 y otras partes de máquinas de secado que incorporen las cámaras de secado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Muebles concebidos para las máquinas de las subpartidas 8451.21 ú 8451.29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8466.93.aa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8466.93.00AA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8466.93.04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Cama, base, mesa, cabezal, contrapunto, arnés, cunas, carros deslizantes, columna, brazo, brazo de sierra, cabezal de rueda, "carnero", armazón, montante, lunetas, husillo, bastidor, obtenidos por fundición, soldadura o forjado.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8466.94.aa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8466.94.00AA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8466.94.01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Cama, base, mesa, columna, cuna, armazón, corona, carro deslizante, flecha, bastidor, obtenidos por fundición, soldadura o forjado.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Monitores con tubos de rayos catódicos en colores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láser con capacidad de reproducción superior a 20 páginas por minuto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Las demás impresoras láser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de barra luminosa electrónica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por inyección de tinta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por transferencia térmica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8471.60.00GG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8471.60.07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Impresoras ionográficas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Otras unidades de control o adaptadores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8471.80.01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Otras unidades de adaptación para su incorporación física en máquinas procesadoras de datos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las máquinas para procesamiento de textos de la partida 84.69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8473.10.bb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8473.10.99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otras máquinas de la partida 84.69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y accesorios, incluidas las placas frontales y los dispositivos de ajuste o seguridad, para los 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Otras partes para las impresoras de la subpartida 8471.60, especificadas en la nota 3 del capítulo 84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8473.50.02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y accesorios, incluidas las placas frontales y los dispositivos de ajuste o seguridad, para los 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8482.99.aa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8482.99.00AA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8482.99.01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8482.99.03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8482.99.04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Pistas o tazas internas o externas.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8503.00.aa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8503.00.00AA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8503.00.01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8503.00.03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8503.00.05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Estatores y rotores para los bienes de la partida 85.01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Fuentes de poder para las máquinas automáticas de procesamiento de datos de la partida 84.71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Controladores de velocidad para motores eléctricos.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8504.40.12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Fuentes de alimentación estabilizada.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8504.90.02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8504.90.07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bienes de las subpartidas 8504.40 y 8504.90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Otras partes de fuentes de poder para las máquinas automáticas de procesamiento de datos de la partida 84.71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8508.90.aa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8508.90.00AA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8508.90.01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8509.90.aa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8509.90.00AA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8509.90.02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8516.60.aa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8516.60.00AA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8516.60.02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8516.60.03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Hornos, estufas, cocinas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8516.90.aa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Carcazas para los bienes de la subpartida 8516.33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Carcazas y bases metálicas para los bienes de la subpartida 8516.40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los bienes de la subpartida 8516.50 que incluyan más de uno de los siguientes componentes: cámara de cocción, chasis del soporte estructural, puerta, gabinete exterior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los bienes de la subpartida 8516.50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Cámaras de cocción, ensambladas o no, para los bienes de la fracción arancelaria 8516.60.aa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Panel superior con o sin elementos de calentamiento o control, para los bienes de la fracción arancelaria 8516.60.aa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puerta que contengan más de uno de los siguientes componentes: panel interior, panel exterior, ventana, aislamiento, para los bienes de la fracción arancelaria 8516.60.aa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8516.90.hh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8516.90.00HH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Carcaza para bienes de la subpartida 8516.72.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8517.50.aa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8517.50.00AA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8517.50.05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 aparatos telefónicos por corriente portadora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8517.80.aa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8517.80.00AA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8517.80.05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 aparatos para telegrafía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equipos telefónicos que incorporan 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los bienes de las subpartidas 8517.22, 8517.30 y la fracción arancelaria 8517.50.aa y 8517.80.aa que incorporan 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para máquinas de facsimilado, especificadas en la nota 2 del capítulo 85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Las demás partes, que incorporan circuitos modulares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Las demás partes, incluidas las placas frontales y los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8517.90.00FF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dispositivos de ajuste o seguridad, para 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8517.90.00GG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8518.30.aa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8518.30.00AA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8518.30.03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Microteléfono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8522.90.aa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8522.90.00AA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8522.90.07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los aparatos de las partidas 85.19, 85.20 ú 85.21.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8525.30.aa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8525.30.00AA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8525.30.01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Cámaras de televisión giroestabilizadas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los bienes de las partidas 85.25 a 85.28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especificadas en la nota 4 del capítulo 85, excepto los circuitos modulares clasificados en la fracción arancelaria 8529.90.aa.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Combinaciones de las partes especificadas en la nota 4 del capítulo 85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8529.90.00DD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8529.90.11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Partes, incluidas las placas frontales y los dispositivos de ajuste o seguridad, para los circuitos modulares, no especificadas en otra parte)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8535.90.aa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8535.90.00AA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8535.90.08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8535.90.20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8535.90.24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Arrancadores de motor y protectores de sobrecarga para motores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8536.30.aa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8536.30.00AA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8536.30.05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Protectores de sobrecarga para motores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8536.50.aa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8536.50.00AA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8536.50.13</w:t>
            </w: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8536.50.14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Arrancadores de motor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8537.10.aa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8537.10.00AA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8537.10.05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con la carcaza exterior o soporte, para los bienes de las partidas 84.21, 84.22, 84.50 ú 85.16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Para los bienes de la fracción arancelaria 8535.90.aa, 8536.30.aa, 8536.50.aa, de materiales cerámicos o metálicos, termosensibles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8538.90.00CC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8538.90.06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moldeadas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Ensambles de panel frontal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8540.99.05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Cañones de electrones; estructuras de radio-frecuencia (RF) para los tubos de microondas de las subpartidas 8540.71 a 8540.79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8548.10.aa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8548.10.00AA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8548.10.01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Desperdicios y desechos de pilas, baterías de pilas o acumuladores, eléctricos; pilas, baterías de pilas y acumuladores, eléctricos, inservibles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Partes de fotocopiadoras de la subpartida 9009.12, especificadas en la nota 3 del capítulo 90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Electrocardiógrafos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9018.11.02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Sistemas de monitoreo de pacientes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9018.19.12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módulos de parámetros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Desfibriladores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9018.90.26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Circuitos modulares para los bienes de la fracción arancelaria 9018.90.aa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Unidades generadoras de radiación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Cañones para emisión de radiación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9027.80.aa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9027.80.00AA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9027.80.02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Instrumentos nucleares de resonancia magnética</w:t>
            </w:r>
          </w:p>
        </w:tc>
      </w:tr>
      <w:tr w:rsidR="007332B2" w:rsidRPr="007332B2" w:rsidTr="007332B2"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9031.49.aa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9031.49.00BB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9031.49.01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332B2" w:rsidRPr="007332B2" w:rsidRDefault="007332B2" w:rsidP="007332B2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7332B2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Instrumentos de medición de coordenadas</w:t>
            </w:r>
          </w:p>
        </w:tc>
      </w:tr>
    </w:tbl>
    <w:p w:rsidR="0022636C" w:rsidRPr="007332B2" w:rsidRDefault="007332B2" w:rsidP="007332B2"/>
    <w:sectPr w:rsidR="0022636C" w:rsidRPr="00733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1026"/>
    <w:multiLevelType w:val="multilevel"/>
    <w:tmpl w:val="8C4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F3AC1"/>
    <w:multiLevelType w:val="multilevel"/>
    <w:tmpl w:val="933E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B2"/>
    <w:rsid w:val="007332B2"/>
    <w:rsid w:val="007E5F62"/>
    <w:rsid w:val="00A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93B21-C3D8-46C1-BE30-9DDBA5C8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332B2"/>
    <w:rPr>
      <w:b/>
      <w:bCs/>
      <w:vanish w:val="0"/>
      <w:webHidden w:val="0"/>
      <w:sz w:val="17"/>
      <w:szCs w:val="17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9579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2121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Cornejo</dc:creator>
  <cp:keywords/>
  <dc:description/>
  <cp:lastModifiedBy>Paola Cornejo</cp:lastModifiedBy>
  <cp:revision>1</cp:revision>
  <dcterms:created xsi:type="dcterms:W3CDTF">2018-08-09T18:52:00Z</dcterms:created>
  <dcterms:modified xsi:type="dcterms:W3CDTF">2018-08-09T18:53:00Z</dcterms:modified>
</cp:coreProperties>
</file>